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proofErr w:type="gram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>.</w:t>
      </w:r>
      <w:proofErr w:type="gramEnd"/>
      <w:r w:rsidRPr="0023439C">
        <w:rPr>
          <w:bCs/>
          <w:sz w:val="22"/>
          <w:szCs w:val="22"/>
        </w:rPr>
        <w:t xml:space="preserve">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2E1C9F">
        <w:rPr>
          <w:szCs w:val="24"/>
        </w:rPr>
        <w:t>Mgr</w:t>
      </w:r>
      <w:r w:rsidR="0066638F">
        <w:rPr>
          <w:szCs w:val="24"/>
        </w:rPr>
        <w:t>. Zdeňkem</w:t>
      </w:r>
      <w:r w:rsidR="002E1C9F" w:rsidRPr="008563D2">
        <w:rPr>
          <w:szCs w:val="24"/>
        </w:rPr>
        <w:t xml:space="preserve"> Dvořák</w:t>
      </w:r>
      <w:r w:rsidR="0066638F">
        <w:rPr>
          <w:szCs w:val="24"/>
        </w:rPr>
        <w:t>em</w:t>
      </w:r>
      <w:r w:rsidR="002E1C9F" w:rsidRPr="008563D2">
        <w:rPr>
          <w:szCs w:val="24"/>
        </w:rPr>
        <w:t>,</w:t>
      </w:r>
      <w:r w:rsidR="002E1C9F">
        <w:rPr>
          <w:szCs w:val="24"/>
        </w:rPr>
        <w:t xml:space="preserve"> MPA</w:t>
      </w:r>
      <w:r w:rsidR="002E1C9F">
        <w:rPr>
          <w:bCs/>
          <w:color w:val="000000"/>
          <w:sz w:val="22"/>
          <w:szCs w:val="22"/>
        </w:rPr>
        <w:t>, ředitel</w:t>
      </w:r>
      <w:r w:rsidR="0066638F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0" w:name="_DV_M12"/>
      <w:bookmarkEnd w:id="0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1" w:name="_DV_M13"/>
      <w:bookmarkEnd w:id="1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4047D8" w:rsidP="004047D8">
      <w:pPr>
        <w:spacing w:line="276" w:lineRule="auto"/>
        <w:contextualSpacing/>
        <w:rPr>
          <w:b/>
          <w:sz w:val="22"/>
          <w:szCs w:val="22"/>
        </w:rPr>
      </w:pP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DIČ: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zapsaná v </w:t>
      </w:r>
      <w:r>
        <w:rPr>
          <w:sz w:val="22"/>
          <w:szCs w:val="22"/>
          <w:highlight w:val="green"/>
        </w:rPr>
        <w:t xml:space="preserve">bude </w:t>
      </w:r>
      <w:proofErr w:type="gramStart"/>
      <w:r>
        <w:rPr>
          <w:sz w:val="22"/>
          <w:szCs w:val="22"/>
          <w:highlight w:val="green"/>
        </w:rPr>
        <w:t>doplněno</w:t>
      </w:r>
      <w:proofErr w:type="gramEnd"/>
      <w:r w:rsidRPr="000B1E58">
        <w:rPr>
          <w:sz w:val="22"/>
          <w:szCs w:val="22"/>
        </w:rPr>
        <w:t xml:space="preserve"> rejstříku </w:t>
      </w:r>
      <w:proofErr w:type="gramStart"/>
      <w:r w:rsidRPr="000B1E58">
        <w:rPr>
          <w:sz w:val="22"/>
          <w:szCs w:val="22"/>
        </w:rPr>
        <w:t>vedeném</w:t>
      </w:r>
      <w:proofErr w:type="gramEnd"/>
      <w:r w:rsidRPr="000B1E58">
        <w:rPr>
          <w:sz w:val="22"/>
          <w:szCs w:val="22"/>
        </w:rPr>
        <w:t xml:space="preserve"> </w:t>
      </w:r>
      <w:r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pod/v </w:t>
      </w:r>
      <w:r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         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</w:t>
      </w:r>
      <w:proofErr w:type="gramStart"/>
      <w:r w:rsidRPr="000B1E58">
        <w:rPr>
          <w:sz w:val="22"/>
          <w:szCs w:val="22"/>
        </w:rPr>
        <w:t xml:space="preserve">jedná </w:t>
      </w:r>
      <w:r>
        <w:rPr>
          <w:sz w:val="22"/>
          <w:szCs w:val="22"/>
          <w:highlight w:val="green"/>
        </w:rPr>
        <w:t>bude</w:t>
      </w:r>
      <w:proofErr w:type="gramEnd"/>
      <w:r>
        <w:rPr>
          <w:sz w:val="22"/>
          <w:szCs w:val="22"/>
          <w:highlight w:val="green"/>
        </w:rPr>
        <w:t xml:space="preserve"> doplněno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6"/>
      <w:bookmarkEnd w:id="2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obec </w:t>
      </w:r>
      <w:proofErr w:type="gramStart"/>
      <w:r w:rsidR="00223448">
        <w:rPr>
          <w:sz w:val="22"/>
          <w:szCs w:val="22"/>
          <w:highlight w:val="green"/>
        </w:rPr>
        <w:t>bude doplněno</w:t>
      </w:r>
      <w:proofErr w:type="gramEnd"/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lastRenderedPageBreak/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</w:t>
      </w:r>
      <w:proofErr w:type="gramStart"/>
      <w:r w:rsidRPr="000B1E58">
        <w:rPr>
          <w:sz w:val="22"/>
          <w:szCs w:val="22"/>
        </w:rPr>
        <w:t>do</w:t>
      </w:r>
      <w:proofErr w:type="gramEnd"/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 xml:space="preserve">bude </w:t>
      </w:r>
      <w:proofErr w:type="gramStart"/>
      <w:r w:rsidR="00223448">
        <w:rPr>
          <w:sz w:val="22"/>
          <w:szCs w:val="22"/>
          <w:highlight w:val="green"/>
        </w:rPr>
        <w:t>doplněno</w:t>
      </w:r>
      <w:proofErr w:type="gramEnd"/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Tato smlouva nabývá platnosti a účinnosti dnem jejího uzavření, anebo dnem uveřejnění v registru smluv podle odst. </w:t>
      </w:r>
      <w:r w:rsidR="00933E0E">
        <w:rPr>
          <w:sz w:val="22"/>
          <w:szCs w:val="22"/>
        </w:rPr>
        <w:t>6</w:t>
      </w:r>
      <w:r w:rsidRPr="000B1E58">
        <w:rPr>
          <w:sz w:val="22"/>
          <w:szCs w:val="22"/>
        </w:rPr>
        <w:t xml:space="preserve">. níže v tomto článku. Dnem uzavření této smlouvy je den označený datem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>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povinná/ý </w:t>
      </w:r>
      <w:r w:rsidRPr="000B1E58">
        <w:rPr>
          <w:color w:val="000000" w:themeColor="text1"/>
          <w:sz w:val="22"/>
          <w:szCs w:val="22"/>
        </w:rPr>
        <w:t xml:space="preserve">bere na vědomí, že Budoucí oprávněný je subjektem, jenž nese v určitých případech zákonnou povinnost uveřejňovat smlouvy v souladu se zákonem č. 340/2015 Sb., </w:t>
      </w:r>
      <w:r w:rsidRPr="000B1E58">
        <w:rPr>
          <w:sz w:val="22"/>
          <w:szCs w:val="22"/>
        </w:rPr>
        <w:t>o zvláštních podmínkách účinnosti některých smluv, uveřejňování těchto smluv a o registru smluv (zákon o registru smluv), ve znění pozdějších předpisů (dále též „</w:t>
      </w:r>
      <w:r w:rsidRPr="000B1E58">
        <w:rPr>
          <w:b/>
          <w:sz w:val="22"/>
          <w:szCs w:val="22"/>
        </w:rPr>
        <w:t>zákon o registru smluv</w:t>
      </w:r>
      <w:r w:rsidRPr="000B1E58">
        <w:rPr>
          <w:sz w:val="22"/>
          <w:szCs w:val="22"/>
        </w:rPr>
        <w:t xml:space="preserve">“), </w:t>
      </w:r>
      <w:r w:rsidRPr="000B1E58">
        <w:rPr>
          <w:color w:val="000000" w:themeColor="text1"/>
          <w:sz w:val="22"/>
          <w:szCs w:val="22"/>
        </w:rPr>
        <w:t xml:space="preserve">v registru smluv vedeném pro tyto účely Ministerstvem vnitra.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476FB">
        <w:rPr>
          <w:b/>
          <w:sz w:val="22"/>
          <w:szCs w:val="22"/>
          <w:highlight w:val="yellow"/>
        </w:rPr>
        <w:t xml:space="preserve"> </w:t>
      </w:r>
      <w:r w:rsidRPr="000B1E58">
        <w:rPr>
          <w:color w:val="000000" w:themeColor="text1"/>
          <w:sz w:val="22"/>
          <w:szCs w:val="22"/>
        </w:rPr>
        <w:t xml:space="preserve">souhlasí se zveřejněním této smlouvy v případě, kdy Budoucí oprávněný ponese, v souladu s uvedeným zákonem o registru smluv, povinnost uveřejnění, a to v rozsahu </w:t>
      </w:r>
      <w:r w:rsidR="0021647D">
        <w:rPr>
          <w:color w:val="000000" w:themeColor="text1"/>
          <w:sz w:val="22"/>
          <w:szCs w:val="22"/>
        </w:rPr>
        <w:br/>
      </w:r>
      <w:r w:rsidRPr="000B1E58">
        <w:rPr>
          <w:color w:val="000000" w:themeColor="text1"/>
          <w:sz w:val="22"/>
          <w:szCs w:val="22"/>
        </w:rPr>
        <w:t xml:space="preserve">a způsobem z uvedeného zákona vyplývající. V takovém případě zajistí uveřejněné této smlouvy v registru smluv Budoucí oprávněný a tato smlouva </w:t>
      </w:r>
      <w:r w:rsidRPr="000B1E58">
        <w:rPr>
          <w:sz w:val="22"/>
          <w:szCs w:val="22"/>
        </w:rPr>
        <w:t>nabývá účinnosti dnem uveřejnění v registru smluv ve smyslu zákona o registru smluv.</w:t>
      </w:r>
    </w:p>
    <w:p w:rsidR="000B1E58" w:rsidRPr="001640EC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  <w:highlight w:val="yellow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640EC">
        <w:rPr>
          <w:sz w:val="22"/>
          <w:szCs w:val="22"/>
          <w:highlight w:val="yellow"/>
        </w:rPr>
        <w:t xml:space="preserve"> prohlašuje, že záměr obce </w:t>
      </w:r>
      <w:r>
        <w:rPr>
          <w:sz w:val="22"/>
          <w:szCs w:val="22"/>
          <w:highlight w:val="yellow"/>
        </w:rPr>
        <w:t>zatížit</w:t>
      </w:r>
      <w:r w:rsidRPr="001640EC">
        <w:rPr>
          <w:sz w:val="22"/>
          <w:szCs w:val="22"/>
          <w:highlight w:val="yellow"/>
        </w:rPr>
        <w:t xml:space="preserve"> předmět smlouvy byl v souladu s </w:t>
      </w:r>
      <w:proofErr w:type="spellStart"/>
      <w:r w:rsidRPr="001640EC">
        <w:rPr>
          <w:sz w:val="22"/>
          <w:szCs w:val="22"/>
          <w:highlight w:val="yellow"/>
        </w:rPr>
        <w:t>ust</w:t>
      </w:r>
      <w:proofErr w:type="spellEnd"/>
      <w:r w:rsidRPr="001640EC">
        <w:rPr>
          <w:sz w:val="22"/>
          <w:szCs w:val="22"/>
          <w:highlight w:val="yellow"/>
        </w:rPr>
        <w:t xml:space="preserve">. § 39 zákona č. 128/2000 Sb., o obcích (obecní </w:t>
      </w:r>
      <w:proofErr w:type="gramStart"/>
      <w:r w:rsidRPr="001640EC">
        <w:rPr>
          <w:sz w:val="22"/>
          <w:szCs w:val="22"/>
          <w:highlight w:val="yellow"/>
        </w:rPr>
        <w:t>zřízení) (dále</w:t>
      </w:r>
      <w:proofErr w:type="gramEnd"/>
      <w:r w:rsidRPr="001640EC">
        <w:rPr>
          <w:sz w:val="22"/>
          <w:szCs w:val="22"/>
          <w:highlight w:val="yellow"/>
        </w:rPr>
        <w:t xml:space="preserve"> jen „zákon č. 128/2000 Sb.“) zveřejněn po dobu nejméně 15 dnů před projednáním v orgánech obce na úřední desce obce obecního úřadu a že zastupitelstvo obce rozhodlo v souladu s </w:t>
      </w:r>
      <w:proofErr w:type="spellStart"/>
      <w:r w:rsidRPr="001640EC">
        <w:rPr>
          <w:sz w:val="22"/>
          <w:szCs w:val="22"/>
          <w:highlight w:val="yellow"/>
        </w:rPr>
        <w:t>ust</w:t>
      </w:r>
      <w:proofErr w:type="spellEnd"/>
      <w:r w:rsidRPr="001640EC">
        <w:rPr>
          <w:sz w:val="22"/>
          <w:szCs w:val="22"/>
          <w:highlight w:val="yellow"/>
        </w:rPr>
        <w:t xml:space="preserve">. § 85 písm. a) zákona č. 128/2000 Sb., o </w:t>
      </w:r>
      <w:r>
        <w:rPr>
          <w:sz w:val="22"/>
          <w:szCs w:val="22"/>
          <w:highlight w:val="yellow"/>
        </w:rPr>
        <w:t xml:space="preserve">zatížení </w:t>
      </w:r>
      <w:r w:rsidRPr="001640EC">
        <w:rPr>
          <w:sz w:val="22"/>
          <w:szCs w:val="22"/>
          <w:highlight w:val="yellow"/>
        </w:rPr>
        <w:t xml:space="preserve">předmětu smlouvy. </w:t>
      </w:r>
    </w:p>
    <w:p w:rsidR="001640EC" w:rsidRPr="001640EC" w:rsidRDefault="001640EC" w:rsidP="001640EC">
      <w:pPr>
        <w:pStyle w:val="Odstavecseseznamem"/>
        <w:numPr>
          <w:ilvl w:val="0"/>
          <w:numId w:val="3"/>
        </w:numPr>
        <w:spacing w:after="120"/>
        <w:ind w:left="357"/>
        <w:contextualSpacing w:val="0"/>
        <w:rPr>
          <w:sz w:val="22"/>
          <w:szCs w:val="22"/>
        </w:rPr>
      </w:pPr>
      <w:r w:rsidRPr="001640EC">
        <w:rPr>
          <w:sz w:val="22"/>
          <w:szCs w:val="22"/>
          <w:highlight w:val="yellow"/>
        </w:rPr>
        <w:t xml:space="preserve">Toto ustanovení je doložkou ve smyslu § 41 zákona č. 128/2000 Sb., která potvrzuje splnění podmínek </w:t>
      </w:r>
      <w:r>
        <w:rPr>
          <w:sz w:val="22"/>
          <w:szCs w:val="22"/>
          <w:highlight w:val="yellow"/>
        </w:rPr>
        <w:t>zatížení</w:t>
      </w:r>
      <w:r w:rsidRPr="001640EC">
        <w:rPr>
          <w:sz w:val="22"/>
          <w:szCs w:val="22"/>
          <w:highlight w:val="yellow"/>
        </w:rPr>
        <w:t xml:space="preserve"> nemovitého majetku obce. </w:t>
      </w:r>
      <w:r>
        <w:rPr>
          <w:sz w:val="22"/>
          <w:szCs w:val="22"/>
          <w:highlight w:val="yellow"/>
        </w:rPr>
        <w:t>Zatížení nemovitého majetku obce</w:t>
      </w:r>
      <w:r w:rsidRPr="001640EC">
        <w:rPr>
          <w:sz w:val="22"/>
          <w:szCs w:val="22"/>
          <w:highlight w:val="yellow"/>
        </w:rPr>
        <w:t xml:space="preserve"> a tato</w:t>
      </w:r>
      <w:r>
        <w:rPr>
          <w:sz w:val="22"/>
          <w:szCs w:val="22"/>
          <w:highlight w:val="yellow"/>
        </w:rPr>
        <w:t xml:space="preserve"> Smlouva o smlouvě budoucí o zřízení věcného břemene - služebnosti</w:t>
      </w:r>
      <w:r w:rsidRPr="001640EC">
        <w:rPr>
          <w:sz w:val="22"/>
          <w:szCs w:val="22"/>
          <w:highlight w:val="yellow"/>
        </w:rPr>
        <w:t xml:space="preserve"> </w:t>
      </w:r>
      <w:proofErr w:type="gramStart"/>
      <w:r w:rsidRPr="001640EC">
        <w:rPr>
          <w:sz w:val="22"/>
          <w:szCs w:val="22"/>
          <w:highlight w:val="yellow"/>
        </w:rPr>
        <w:t>byly</w:t>
      </w:r>
      <w:proofErr w:type="gramEnd"/>
      <w:r w:rsidRPr="001640EC">
        <w:rPr>
          <w:sz w:val="22"/>
          <w:szCs w:val="22"/>
          <w:highlight w:val="yellow"/>
        </w:rPr>
        <w:t xml:space="preserve"> schváleny na jednání Zastupitelstva obce dne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green"/>
        </w:rPr>
        <w:t>bude doplněno</w:t>
      </w:r>
      <w:r w:rsidRPr="001640EC">
        <w:rPr>
          <w:sz w:val="22"/>
          <w:szCs w:val="22"/>
        </w:rPr>
        <w:t xml:space="preserve"> </w:t>
      </w:r>
      <w:r w:rsidRPr="001640EC">
        <w:rPr>
          <w:sz w:val="22"/>
          <w:szCs w:val="22"/>
          <w:highlight w:val="yellow"/>
        </w:rPr>
        <w:t>usnesením</w:t>
      </w:r>
      <w:r w:rsidRPr="001640EC">
        <w:rPr>
          <w:sz w:val="22"/>
          <w:szCs w:val="22"/>
        </w:rPr>
        <w:t xml:space="preserve"> </w:t>
      </w:r>
      <w:proofErr w:type="gramStart"/>
      <w:r w:rsidRPr="001640EC">
        <w:rPr>
          <w:sz w:val="22"/>
          <w:szCs w:val="22"/>
          <w:highlight w:val="green"/>
        </w:rPr>
        <w:t>bude</w:t>
      </w:r>
      <w:proofErr w:type="gramEnd"/>
      <w:r w:rsidRPr="001640EC">
        <w:rPr>
          <w:sz w:val="22"/>
          <w:szCs w:val="22"/>
          <w:highlight w:val="green"/>
        </w:rPr>
        <w:t xml:space="preserve"> doplněno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3" w:name="_DV_C373"/>
      <w:r w:rsidRPr="00933E0E">
        <w:rPr>
          <w:i/>
          <w:sz w:val="22"/>
          <w:szCs w:val="22"/>
          <w:highlight w:val="yellow"/>
        </w:rPr>
        <w:t>Tato smlouva</w:t>
      </w:r>
      <w:bookmarkStart w:id="4" w:name="_DV_M132"/>
      <w:bookmarkEnd w:id="3"/>
      <w:bookmarkEnd w:id="4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5" w:name="_DV_C379"/>
      <w:r w:rsidRPr="00933E0E">
        <w:rPr>
          <w:i/>
          <w:sz w:val="22"/>
          <w:szCs w:val="22"/>
          <w:highlight w:val="yellow"/>
        </w:rPr>
        <w:t xml:space="preserve"> </w:t>
      </w:r>
      <w:proofErr w:type="gramStart"/>
      <w:r w:rsidR="004E68A7" w:rsidRPr="00933E0E">
        <w:rPr>
          <w:i/>
          <w:sz w:val="22"/>
          <w:szCs w:val="22"/>
          <w:highlight w:val="green"/>
        </w:rPr>
        <w:t>8.12.2014</w:t>
      </w:r>
      <w:proofErr w:type="gramEnd"/>
      <w:r w:rsidRPr="00933E0E">
        <w:rPr>
          <w:i/>
          <w:sz w:val="22"/>
          <w:szCs w:val="22"/>
          <w:highlight w:val="green"/>
        </w:rPr>
        <w:t xml:space="preserve">  </w:t>
      </w:r>
      <w:bookmarkEnd w:id="5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6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6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7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7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bookmarkStart w:id="8" w:name="_GoBack"/>
      <w:bookmarkEnd w:id="8"/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dne .........................                         </w:t>
      </w:r>
      <w:r w:rsidRPr="000B1E58">
        <w:rPr>
          <w:sz w:val="22"/>
          <w:szCs w:val="22"/>
        </w:rPr>
        <w:tab/>
        <w:t>V ………………..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0B1E58" w:rsidRDefault="002E1C9F">
      <w:pPr>
        <w:rPr>
          <w:sz w:val="22"/>
          <w:szCs w:val="22"/>
        </w:rPr>
      </w:pPr>
      <w:r>
        <w:rPr>
          <w:szCs w:val="24"/>
        </w:rPr>
        <w:t>Mgr</w:t>
      </w:r>
      <w:r w:rsidRPr="008563D2">
        <w:rPr>
          <w:szCs w:val="24"/>
        </w:rPr>
        <w:t>. Zdeněk Dvořák,</w:t>
      </w:r>
      <w:r>
        <w:rPr>
          <w:szCs w:val="24"/>
        </w:rPr>
        <w:t xml:space="preserve"> MPA</w:t>
      </w:r>
      <w:r w:rsidR="000B1E58" w:rsidRPr="000B1E58">
        <w:rPr>
          <w:sz w:val="22"/>
          <w:szCs w:val="22"/>
        </w:rPr>
        <w:t>, ředitel</w:t>
      </w:r>
    </w:p>
    <w:sectPr w:rsidR="00D7795F" w:rsidRPr="000B1E58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58"/>
    <w:rsid w:val="00045374"/>
    <w:rsid w:val="000B1E58"/>
    <w:rsid w:val="001476FB"/>
    <w:rsid w:val="001640EC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B586E"/>
    <w:rsid w:val="003C2A2B"/>
    <w:rsid w:val="003D4619"/>
    <w:rsid w:val="004047D8"/>
    <w:rsid w:val="00450E12"/>
    <w:rsid w:val="004874CC"/>
    <w:rsid w:val="004D4D13"/>
    <w:rsid w:val="004E68A7"/>
    <w:rsid w:val="004E698E"/>
    <w:rsid w:val="004F1910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C359EC"/>
    <w:rsid w:val="00C6529C"/>
    <w:rsid w:val="00C80F43"/>
    <w:rsid w:val="00D45F75"/>
    <w:rsid w:val="00D5240D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1192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Petr Tarčinec</cp:lastModifiedBy>
  <cp:revision>4</cp:revision>
  <cp:lastPrinted>2018-09-20T08:33:00Z</cp:lastPrinted>
  <dcterms:created xsi:type="dcterms:W3CDTF">2019-02-22T16:21:00Z</dcterms:created>
  <dcterms:modified xsi:type="dcterms:W3CDTF">2019-02-22T16:26:00Z</dcterms:modified>
</cp:coreProperties>
</file>